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4369B">
      <w:pPr>
        <w:jc w:val="both"/>
        <w:rPr>
          <w:rFonts w:ascii="方正小标宋简体" w:hAnsi="方正小标宋简体" w:eastAsia="方正小标宋简体" w:cs="方正小标宋简体"/>
          <w:sz w:val="36"/>
          <w:szCs w:val="36"/>
        </w:rPr>
      </w:pPr>
    </w:p>
    <w:p w14:paraId="1B676467">
      <w:pPr>
        <w:jc w:val="center"/>
        <w:rPr>
          <w:rFonts w:ascii="黑体" w:hAnsi="黑体" w:eastAsia="黑体" w:cs="黑体"/>
          <w:sz w:val="44"/>
          <w:szCs w:val="44"/>
        </w:rPr>
      </w:pPr>
      <w:r>
        <w:rPr>
          <w:rFonts w:hint="eastAsia" w:ascii="黑体" w:hAnsi="黑体" w:eastAsia="黑体" w:cs="黑体"/>
          <w:sz w:val="44"/>
          <w:szCs w:val="44"/>
        </w:rPr>
        <w:t>锅炉安全总监</w:t>
      </w:r>
    </w:p>
    <w:p w14:paraId="22F1A728">
      <w:pPr>
        <w:numPr>
          <w:ilvl w:val="0"/>
          <w:numId w:val="1"/>
        </w:numPr>
        <w:rPr>
          <w:rFonts w:ascii="黑体" w:hAnsi="黑体" w:eastAsia="黑体" w:cs="黑体"/>
          <w:sz w:val="32"/>
          <w:szCs w:val="32"/>
        </w:rPr>
      </w:pPr>
      <w:r>
        <w:rPr>
          <w:rFonts w:hint="eastAsia" w:ascii="黑体" w:hAnsi="黑体" w:eastAsia="黑体" w:cs="黑体"/>
          <w:sz w:val="32"/>
          <w:szCs w:val="32"/>
        </w:rPr>
        <w:t>判断题</w:t>
      </w:r>
    </w:p>
    <w:tbl>
      <w:tblPr>
        <w:tblStyle w:val="3"/>
        <w:tblW w:w="8306" w:type="dxa"/>
        <w:tblInd w:w="108" w:type="dxa"/>
        <w:tblLayout w:type="autofit"/>
        <w:tblCellMar>
          <w:top w:w="0" w:type="dxa"/>
          <w:left w:w="108" w:type="dxa"/>
          <w:bottom w:w="0" w:type="dxa"/>
          <w:right w:w="108" w:type="dxa"/>
        </w:tblCellMar>
      </w:tblPr>
      <w:tblGrid>
        <w:gridCol w:w="8306"/>
      </w:tblGrid>
      <w:tr w14:paraId="0C11CB18">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A571E74">
            <w:pPr>
              <w:widowControl/>
              <w:numPr>
                <w:ilvl w:val="0"/>
                <w:numId w:val="2"/>
              </w:numPr>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根据《锅炉安全技术规程》（TSG 11-2020）的规定，锅炉内部</w:t>
            </w:r>
            <w:r>
              <w:rPr>
                <w:rFonts w:hint="eastAsia" w:ascii="等线" w:hAnsi="等线" w:eastAsia="等线" w:cs="宋体"/>
                <w:color w:val="000000"/>
                <w:kern w:val="0"/>
                <w:sz w:val="22"/>
                <w:szCs w:val="22"/>
                <w:lang w:val="en-US" w:eastAsia="zh-CN"/>
              </w:rPr>
              <w:t>检验</w:t>
            </w:r>
            <w:r>
              <w:rPr>
                <w:rFonts w:hint="eastAsia" w:ascii="等线" w:hAnsi="等线" w:eastAsia="等线" w:cs="宋体"/>
                <w:color w:val="000000"/>
                <w:kern w:val="0"/>
                <w:sz w:val="22"/>
                <w:szCs w:val="22"/>
              </w:rPr>
              <w:t>需要停炉状态下进行。</w:t>
            </w:r>
            <w:r>
              <w:rPr>
                <w:rFonts w:hint="eastAsia" w:ascii="等线" w:hAnsi="等线" w:eastAsia="等线" w:cs="宋体"/>
                <w:color w:val="000000"/>
                <w:kern w:val="0"/>
                <w:sz w:val="22"/>
                <w:szCs w:val="22"/>
                <w:lang w:eastAsia="zh-CN"/>
              </w:rPr>
              <w:t>（      ）</w:t>
            </w:r>
          </w:p>
          <w:p w14:paraId="37B0E4B0">
            <w:pPr>
              <w:widowControl/>
              <w:numPr>
                <w:ilvl w:val="0"/>
                <w:numId w:val="3"/>
              </w:numPr>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正确</w:t>
            </w:r>
          </w:p>
          <w:p w14:paraId="6683DB48">
            <w:pPr>
              <w:widowControl/>
              <w:numPr>
                <w:ilvl w:val="0"/>
                <w:numId w:val="3"/>
              </w:numPr>
              <w:ind w:left="0" w:leftChars="0" w:firstLine="0" w:firstLine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错误</w:t>
            </w:r>
          </w:p>
          <w:p w14:paraId="4F870A46">
            <w:pPr>
              <w:widowControl/>
              <w:numPr>
                <w:ilvl w:val="-1"/>
                <w:numId w:val="0"/>
              </w:numPr>
              <w:ind w:left="0" w:leftChars="0" w:firstLine="0" w:firstLineChars="0"/>
              <w:jc w:val="left"/>
              <w:rPr>
                <w:rFonts w:hint="eastAsia" w:ascii="等线" w:hAnsi="等线" w:eastAsia="等线" w:cs="宋体"/>
                <w:color w:val="000000"/>
                <w:kern w:val="0"/>
                <w:sz w:val="22"/>
                <w:szCs w:val="22"/>
                <w:lang w:eastAsia="zh-CN"/>
              </w:rPr>
            </w:pPr>
          </w:p>
        </w:tc>
      </w:tr>
      <w:tr w14:paraId="10E99688">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0157DDD3">
            <w:pPr>
              <w:widowControl/>
              <w:numPr>
                <w:ilvl w:val="0"/>
                <w:numId w:val="2"/>
              </w:numPr>
              <w:ind w:left="0" w:leftChars="0" w:firstLine="0" w:firstLine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根据《锅炉安全技术规程》（TSG 11-2020）的规定，因结构原因无法进行锅炉内部检验时，应该每3年进行一次水压试验。</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p>
          <w:p w14:paraId="3B05A135">
            <w:pPr>
              <w:widowControl/>
              <w:numPr>
                <w:ilvl w:val="0"/>
                <w:numId w:val="4"/>
              </w:numPr>
              <w:ind w:left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错误</w:t>
            </w:r>
          </w:p>
          <w:p w14:paraId="6828B370">
            <w:pPr>
              <w:widowControl/>
              <w:numPr>
                <w:ilvl w:val="0"/>
                <w:numId w:val="0"/>
              </w:numPr>
              <w:jc w:val="left"/>
              <w:rPr>
                <w:rFonts w:ascii="等线" w:hAnsi="等线" w:eastAsia="等线" w:cs="宋体"/>
                <w:color w:val="000000"/>
                <w:kern w:val="0"/>
                <w:sz w:val="22"/>
                <w:szCs w:val="22"/>
              </w:rPr>
            </w:pPr>
          </w:p>
        </w:tc>
      </w:tr>
      <w:tr w14:paraId="3875DC32">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19E0376">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3、根据《锅炉安全技术规程》（TSG 11-2020）的规定，移装锅炉时不需要进行内部检验。</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208BA555">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1A980C60">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4、根据《锅炉安全技术规程》（TSG 11-2020）的规定，锅炉安全技术档案包括锅炉日常使用状况记录和定期自行检查记录。</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4374755D">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7C3AA85">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5、根据《锅炉安全技术规程》（TSG 11-2020）的规定，蒸汽锅炉安全阀排汽管应当直通安全地点，并且有足够的流通截面积，保证排汽畅通。</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0B63383D">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CEFEB1B">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6、根据《特种设备安全监督检查办法》的规定，特种设备未取得许可生产、国家明令淘汰、已经报废或者达到报废条件，继续使用的，属于严重事故隐患。</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5C1105DF">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5BE061D2">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7、根据《特种设备安全监督检查办法》的规定，特种设备未经监督检验或者经检验、检测不合格，继续使用的，属于严重事故隐患。</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3A5EA435">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6494DD39">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74519B34">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92EC595">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54037F3E">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52A2B2D6">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10、根据《中华人民共和国特种设备安全法》的规定，特种设备存在严重事故隐患，无改造、修理价值，或者达到安全技术规范规定的其他报废条件的，特种设备使用单位应当依法履行报废义务。</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44DD36F8">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49E0E70">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11、根据《特种设备安全监察条例》的规定，特种设备使用单位应当建立特种设备安全技术档案。</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7C5C6A9D">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71BE8E74">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12、根据《特种设备使用管理规则》的规定，使用单位如有正当理由，可拒绝接受特种设备安全监管部门依法实施的监督检查。</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4FD61144">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CF5813A">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13、根据《特种设备使用管理规则》的规定，使用电站锅炉或者石化与化工成套装置的使用单位应设置特种设备安全管理机构。</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22FE1DD4">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61DDE309">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14、根据《特种设备作业人员监督管理办法》的规定，作业人员未能参加用人单位培训的，可以选择专业培训机构进行培训。</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5AD34489">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2743FD5D">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15、根据《特种设备作业人员监督管理办法》的规定，申请人隐瞒有关情况或者提供虚假材料申请特种设备作业人员证的，不予受理或者不予批准发证，并在1年内不得再次申请特种设备作业人员证。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76CE4368">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5597E8C">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16、根据《高耗能特种设备节能监督管理办法》的规定，高耗能特种设备，是指在使用过程中能源消耗量或者转换量大，并具有较大节能空间的锅炉、换热压力容器等特种设备。</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4BDB930D">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1C80AC8">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17、根据《高耗能特种设备节能监督管理办法》的规定，锅炉属于高耗能特种设备。</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08C6C9D8">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064E3875">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18、根据《特种设备使用单位落实使用安全主体责任监督管理规定》的规定，锅炉使用单位主要负责人对本单位锅炉使用安全全面负责。</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41D23341">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222CE9B4">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使用单位落实使用安全主体责任监督管理规定》的规定，锅炉安全总监要每周至少组织一次风险隐患排查，分析研判锅炉使用安全管理情况，研究解决日管控中发现的问题，形成每周锅炉安全排查治理报告。</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r w14:paraId="34BFBEF9">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650B4ECF">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20、根据《锅炉安全技术规程》（TSG 11-2020）的规定，电站锅炉整套启动时，炉膛安全监控系统应当经过调试，并且投入运行。</w:t>
            </w:r>
            <w:r>
              <w:rPr>
                <w:rFonts w:hint="eastAsia" w:ascii="等线" w:hAnsi="等线" w:eastAsia="等线" w:cs="宋体"/>
                <w:color w:val="000000"/>
                <w:kern w:val="0"/>
                <w:sz w:val="22"/>
                <w:szCs w:val="22"/>
                <w:lang w:eastAsia="zh-CN"/>
              </w:rPr>
              <w:t>（      ）</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p>
        </w:tc>
      </w:tr>
    </w:tbl>
    <w:p w14:paraId="05F999AA">
      <w:pPr>
        <w:numPr>
          <w:ilvl w:val="0"/>
          <w:numId w:val="1"/>
        </w:numPr>
        <w:rPr>
          <w:rFonts w:ascii="黑体" w:hAnsi="黑体" w:eastAsia="黑体" w:cs="黑体"/>
          <w:sz w:val="32"/>
          <w:szCs w:val="32"/>
        </w:rPr>
      </w:pPr>
      <w:r>
        <w:rPr>
          <w:rFonts w:hint="eastAsia" w:ascii="黑体" w:hAnsi="黑体" w:eastAsia="黑体" w:cs="黑体"/>
          <w:sz w:val="32"/>
          <w:szCs w:val="32"/>
        </w:rPr>
        <w:t>选择题</w:t>
      </w:r>
    </w:p>
    <w:tbl>
      <w:tblPr>
        <w:tblStyle w:val="3"/>
        <w:tblW w:w="8306" w:type="dxa"/>
        <w:tblInd w:w="108" w:type="dxa"/>
        <w:tblLayout w:type="autofit"/>
        <w:tblCellMar>
          <w:top w:w="0" w:type="dxa"/>
          <w:left w:w="108" w:type="dxa"/>
          <w:bottom w:w="0" w:type="dxa"/>
          <w:right w:w="108" w:type="dxa"/>
        </w:tblCellMar>
      </w:tblPr>
      <w:tblGrid>
        <w:gridCol w:w="8306"/>
      </w:tblGrid>
      <w:tr w14:paraId="2F3A5042">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A72E634">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1、根据《锅炉安全技术规程》（TSG 11-2020）的规定，锅炉外部检验每年进行（      ）次</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w:t>
            </w:r>
            <w:r>
              <w:rPr>
                <w:rFonts w:hint="eastAsia" w:ascii="等线" w:hAnsi="等线" w:eastAsia="等线" w:cs="宋体"/>
                <w:color w:val="000000"/>
                <w:kern w:val="0"/>
                <w:sz w:val="22"/>
                <w:szCs w:val="22"/>
              </w:rPr>
              <w:br w:type="textWrapping"/>
            </w:r>
          </w:p>
        </w:tc>
      </w:tr>
      <w:tr w14:paraId="384B8D01">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1B997256">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2、根据《锅炉安全技术规程》（TSG 11-2020）的规定，锅炉使用单位应在锅炉下次检验日期前（      ）向具有相应资质的检验机构提出检验要求</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B、半个月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C、1个月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D、2个月</w:t>
            </w:r>
            <w:r>
              <w:rPr>
                <w:rFonts w:hint="eastAsia" w:ascii="等线" w:hAnsi="等线" w:eastAsia="等线" w:cs="宋体"/>
                <w:color w:val="000000"/>
                <w:kern w:val="0"/>
                <w:sz w:val="22"/>
                <w:szCs w:val="22"/>
              </w:rPr>
              <w:br w:type="textWrapping"/>
            </w:r>
          </w:p>
        </w:tc>
      </w:tr>
      <w:tr w14:paraId="68188CB7">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9DBF008">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3、根据《锅炉安全技术规程》（TSG 11-2020）的规定，每月对所使用的锅炉至少进行（      ）次月度检查，并且记录检查情况</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D、4</w:t>
            </w:r>
            <w:r>
              <w:rPr>
                <w:rFonts w:hint="eastAsia" w:ascii="等线" w:hAnsi="等线" w:eastAsia="等线" w:cs="宋体"/>
                <w:color w:val="000000"/>
                <w:kern w:val="0"/>
                <w:sz w:val="22"/>
                <w:szCs w:val="22"/>
              </w:rPr>
              <w:br w:type="textWrapping"/>
            </w:r>
          </w:p>
        </w:tc>
      </w:tr>
      <w:tr w14:paraId="77FE66D5">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73CD4886">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4、根据《锅炉安全技术规程》（TSG 11-2020）的规定，（      ）级及以下全自动锅炉可以不设跟班锅炉作业人员，但是应当建立定期巡回检查制度</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D、D</w:t>
            </w:r>
            <w:r>
              <w:rPr>
                <w:rFonts w:hint="eastAsia" w:ascii="等线" w:hAnsi="等线" w:eastAsia="等线" w:cs="宋体"/>
                <w:color w:val="000000"/>
                <w:kern w:val="0"/>
                <w:sz w:val="22"/>
                <w:szCs w:val="22"/>
              </w:rPr>
              <w:br w:type="textWrapping"/>
            </w:r>
          </w:p>
        </w:tc>
      </w:tr>
      <w:tr w14:paraId="306D8D14">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7906998A">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5、根据《锅炉安全技术规程》（TSG 11-2020）的规定，在用锅炉的安全阀（      ）至少校验1次</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A、每月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B、每3月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C、每半年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D、每年</w:t>
            </w:r>
            <w:r>
              <w:rPr>
                <w:rFonts w:hint="eastAsia" w:ascii="等线" w:hAnsi="等线" w:eastAsia="等线" w:cs="宋体"/>
                <w:color w:val="000000"/>
                <w:kern w:val="0"/>
                <w:sz w:val="22"/>
                <w:szCs w:val="22"/>
              </w:rPr>
              <w:br w:type="textWrapping"/>
            </w:r>
          </w:p>
        </w:tc>
      </w:tr>
      <w:tr w14:paraId="476892C3">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0C629BBD">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6、根据《特种设备安全监督检查办法》的规定，特种设备未取得许可生产、国家明令淘汰、已经报废或者达到报废条件，继续使用的，属于（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tc>
      </w:tr>
      <w:tr w14:paraId="1EFE6A2E">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DDC13DD">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7、根据《特种设备安全监督检查办法》的规定，特种设备发生过事故或者有明显故障，未对其进行全面检查、消除事故隐患，继续使用的，属于（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tc>
      </w:tr>
      <w:tr w14:paraId="2A566239">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0DEFC1AC">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8、根据《特种设备安全监督检查办法》的规定，特种设备未经监督检验或者经检验、检测不合格，继续使用的，属于（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tc>
      </w:tr>
      <w:tr w14:paraId="459F124E">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07B35503">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9、根据《特种设备安全监督检查办法》的规定，特种设备安全附件、安全保护装置缺失或者失灵，继续使用的，属于（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p>
        </w:tc>
      </w:tr>
      <w:tr w14:paraId="2B55F3A9">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F214054">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D、3</w:t>
            </w:r>
            <w:r>
              <w:rPr>
                <w:rFonts w:hint="eastAsia" w:ascii="等线" w:hAnsi="等线" w:eastAsia="等线" w:cs="宋体"/>
                <w:color w:val="000000"/>
                <w:kern w:val="0"/>
                <w:sz w:val="22"/>
                <w:szCs w:val="22"/>
              </w:rPr>
              <w:br w:type="textWrapping"/>
            </w:r>
          </w:p>
        </w:tc>
      </w:tr>
      <w:tr w14:paraId="19E14080">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2D8A21DC">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11、根据《特种设备事故报告和调查处理导则》（TSG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B、特种设备主管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C、特种设备安全管理员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D、特种设备作业人员</w:t>
            </w:r>
            <w:r>
              <w:rPr>
                <w:rFonts w:hint="eastAsia" w:ascii="等线" w:hAnsi="等线" w:eastAsia="等线" w:cs="宋体"/>
                <w:color w:val="000000"/>
                <w:kern w:val="0"/>
                <w:sz w:val="22"/>
                <w:szCs w:val="22"/>
              </w:rPr>
              <w:br w:type="textWrapping"/>
            </w:r>
          </w:p>
        </w:tc>
      </w:tr>
      <w:tr w14:paraId="18482EFC">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BA2640C">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12、根据《中华人民共和国特种设备安全法》的规定，特种设备进行改造、修理，按照规定需要变更使用登记的，应当办理（      ），方可继续使用</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A、变更登记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B、报废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C、停用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D、重新登记</w:t>
            </w:r>
            <w:r>
              <w:rPr>
                <w:rFonts w:hint="eastAsia" w:ascii="等线" w:hAnsi="等线" w:eastAsia="等线" w:cs="宋体"/>
                <w:color w:val="000000"/>
                <w:kern w:val="0"/>
                <w:sz w:val="22"/>
                <w:szCs w:val="22"/>
              </w:rPr>
              <w:br w:type="textWrapping"/>
            </w:r>
          </w:p>
        </w:tc>
      </w:tr>
      <w:tr w14:paraId="371A27D5">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A7A0BD7">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13、根据《特种设备安全监察条例》的规定，特种设备使用单位应当使用符合（      ）要求的特种设备</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A、安全技术规范</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B、使用单位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C、检查人员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D、上级部门</w:t>
            </w:r>
            <w:r>
              <w:rPr>
                <w:rFonts w:hint="eastAsia" w:ascii="等线" w:hAnsi="等线" w:eastAsia="等线" w:cs="宋体"/>
                <w:color w:val="000000"/>
                <w:kern w:val="0"/>
                <w:sz w:val="22"/>
                <w:szCs w:val="22"/>
              </w:rPr>
              <w:br w:type="textWrapping"/>
            </w:r>
          </w:p>
        </w:tc>
      </w:tr>
      <w:tr w14:paraId="0C102246">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049FF7A3">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14、根据《特种设备安全监察条例》的规定，特种设备不符合能效指标的，特种设备使用单位应当采取相应措施进行（      ）</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C、整改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D、报废</w:t>
            </w:r>
            <w:r>
              <w:rPr>
                <w:rFonts w:hint="eastAsia" w:ascii="等线" w:hAnsi="等线" w:eastAsia="等线" w:cs="宋体"/>
                <w:color w:val="000000"/>
                <w:kern w:val="0"/>
                <w:sz w:val="22"/>
                <w:szCs w:val="22"/>
              </w:rPr>
              <w:br w:type="textWrapping"/>
            </w:r>
          </w:p>
        </w:tc>
      </w:tr>
      <w:tr w14:paraId="02C0FF15">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11E96F05">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15、根据《特种设备使用管理规则》的规定，主要负责人是指特种设备使用单位的实际最高管理者，对其单位所使用的特种设备安全节能负总责，每（      ）至少组织召开一次安全调度会议</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D、季度</w:t>
            </w:r>
            <w:r>
              <w:rPr>
                <w:rFonts w:hint="eastAsia" w:ascii="等线" w:hAnsi="等线" w:eastAsia="等线" w:cs="宋体"/>
                <w:color w:val="000000"/>
                <w:kern w:val="0"/>
                <w:sz w:val="22"/>
                <w:szCs w:val="22"/>
              </w:rPr>
              <w:br w:type="textWrapping"/>
            </w:r>
          </w:p>
        </w:tc>
      </w:tr>
      <w:tr w14:paraId="1B678A32">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2DF7C854">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16、根据《特种设备使用管理规则》的规定，按照特种设备使用管理规则要求设置安全管理机构的使用单位安全管理负责人，（      ）取得相应的特种设备安全管理人员资格证书</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C、视情况</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D、根据需要</w:t>
            </w:r>
            <w:r>
              <w:rPr>
                <w:rFonts w:hint="eastAsia" w:ascii="等线" w:hAnsi="等线" w:eastAsia="等线" w:cs="宋体"/>
                <w:color w:val="000000"/>
                <w:kern w:val="0"/>
                <w:sz w:val="22"/>
                <w:szCs w:val="22"/>
              </w:rPr>
              <w:br w:type="textWrapping"/>
            </w:r>
          </w:p>
        </w:tc>
      </w:tr>
      <w:tr w14:paraId="05427C2A">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7F08285F">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17、根据《特种设备使用管理规则》的规定，高耗能特种设备使用单位应当配备（      ）管理人员，负责宣传贯彻特种设备节能的法律法规</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B、技术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C、经费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D、节能</w:t>
            </w:r>
            <w:r>
              <w:rPr>
                <w:rFonts w:hint="eastAsia" w:ascii="等线" w:hAnsi="等线" w:eastAsia="等线" w:cs="宋体"/>
                <w:color w:val="000000"/>
                <w:kern w:val="0"/>
                <w:sz w:val="22"/>
                <w:szCs w:val="22"/>
              </w:rPr>
              <w:br w:type="textWrapping"/>
            </w:r>
          </w:p>
        </w:tc>
      </w:tr>
      <w:tr w14:paraId="4C785464">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6359358A">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18、根据《特种设备作业人员监督管理办法》的规定，第二条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锅炉、压力容器（含气瓶）、压力管道、电梯、起重机械、客运索道、大型游乐设施、场（厂）内专用机动车辆等特种设备的作业人员及其相关管理人员统称特种设备（      ）人员</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A、作业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B、操作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D、控制</w:t>
            </w:r>
            <w:r>
              <w:rPr>
                <w:rFonts w:hint="eastAsia" w:ascii="等线" w:hAnsi="等线" w:eastAsia="等线" w:cs="宋体"/>
                <w:color w:val="000000"/>
                <w:kern w:val="0"/>
                <w:sz w:val="22"/>
                <w:szCs w:val="22"/>
              </w:rPr>
              <w:br w:type="textWrapping"/>
            </w:r>
          </w:p>
        </w:tc>
      </w:tr>
      <w:tr w14:paraId="6065ED24">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590B7B5F">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19、根据《特种设备作业人员监督管理办法》的规定，（      ）应当对作业人员进行安全教育和培训，保证特种设备作业人员具备必要的特种设备安全作业知识、作业技能和及时进行知识更新</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A、考试机构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B、用人单位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C、培训机构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D、发证机关</w:t>
            </w:r>
            <w:r>
              <w:rPr>
                <w:rFonts w:hint="eastAsia" w:ascii="等线" w:hAnsi="等线" w:eastAsia="等线" w:cs="宋体"/>
                <w:color w:val="000000"/>
                <w:kern w:val="0"/>
                <w:sz w:val="22"/>
                <w:szCs w:val="22"/>
              </w:rPr>
              <w:br w:type="textWrapping"/>
            </w:r>
          </w:p>
        </w:tc>
      </w:tr>
      <w:tr w14:paraId="57031F70">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FE43010">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20、根据《高耗能特种设备节能监督管理办法》的规定，（      ）属于高耗能特种设备</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A、电梯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B、锅炉</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C、压力管道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D、气瓶</w:t>
            </w:r>
            <w:r>
              <w:rPr>
                <w:rFonts w:hint="eastAsia" w:ascii="等线" w:hAnsi="等线" w:eastAsia="等线" w:cs="宋体"/>
                <w:color w:val="000000"/>
                <w:kern w:val="0"/>
                <w:sz w:val="22"/>
                <w:szCs w:val="22"/>
              </w:rPr>
              <w:br w:type="textWrapping"/>
            </w:r>
          </w:p>
        </w:tc>
      </w:tr>
      <w:tr w14:paraId="5E7D1818">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1BFD611E">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21、根据《高耗能特种设备节能监督管理办法》的规定，（      ）特种设备使用单位应当开展节能教育和培训，提高作业人员的节能意识和操作水平，确保特种设备安全、经济运行</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A、高耗能</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B、压力管道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C、电梯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D、起重机械</w:t>
            </w:r>
            <w:r>
              <w:rPr>
                <w:rFonts w:hint="eastAsia" w:ascii="等线" w:hAnsi="等线" w:eastAsia="等线" w:cs="宋体"/>
                <w:color w:val="000000"/>
                <w:kern w:val="0"/>
                <w:sz w:val="22"/>
                <w:szCs w:val="22"/>
              </w:rPr>
              <w:br w:type="textWrapping"/>
            </w:r>
          </w:p>
        </w:tc>
      </w:tr>
      <w:tr w14:paraId="209CD0FF">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350C3368">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22、根据《特种设备使用单位落实使用安全主体责任监督管理规定》的规定，锅炉使用单位应当根据本单位锅炉的数量、用途、使用环境等情况，配备锅炉安全总监和足够数量的锅炉安全员，并（      ）明确负责的锅炉安全员</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A、视情况</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B、自行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C、逐台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D、立即</w:t>
            </w:r>
            <w:r>
              <w:rPr>
                <w:rFonts w:hint="eastAsia" w:ascii="等线" w:hAnsi="等线" w:eastAsia="等线" w:cs="宋体"/>
                <w:color w:val="000000"/>
                <w:kern w:val="0"/>
                <w:sz w:val="22"/>
                <w:szCs w:val="22"/>
              </w:rPr>
              <w:br w:type="textWrapping"/>
            </w:r>
          </w:p>
        </w:tc>
      </w:tr>
      <w:tr w14:paraId="4803AB06">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5A58D6F7">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23、根据《特种设备使用单位落实使用安全主体责任监督管理规定》的规定，锅炉使用单位应当建立基于锅炉（      ）防控的动态管理机制，结合本单位实际，落实自查要求，制定锅炉安全风险管控清单，建立健全日管控、周排查、月调度工作制度和机制</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B、风险隐患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C、安全风险</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D、安全管理</w:t>
            </w:r>
            <w:r>
              <w:rPr>
                <w:rFonts w:hint="eastAsia" w:ascii="等线" w:hAnsi="等线" w:eastAsia="等线" w:cs="宋体"/>
                <w:color w:val="000000"/>
                <w:kern w:val="0"/>
                <w:sz w:val="22"/>
                <w:szCs w:val="22"/>
              </w:rPr>
              <w:br w:type="textWrapping"/>
            </w:r>
          </w:p>
        </w:tc>
      </w:tr>
      <w:tr w14:paraId="2EA8480B">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7680B97F">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24、根据《特种设备使用单位落实使用安全主体责任监督管理规定》的规定，锅炉安全总监要每（      ）至少组织一次风险隐患排查，分析研判锅炉使用安全管理情况，研究解决日管控中发现的问题，形成每周锅炉安全排查治理报告</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p>
        </w:tc>
      </w:tr>
      <w:tr w14:paraId="6DCD8601">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2C1134D">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25、根据《特种设备使用单位落实使用安全主体责任监督管理规定》的规定，锅炉使用单位主要负责人要每（      ）至少听取一次锅炉安全总监管理工作情况汇报，对当月锅炉安全日常管理、风险隐患排查治理等情况进行总结，对下个月重点工作作出调度安排，形成每月锅炉安全调度会议纪要</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p>
        </w:tc>
      </w:tr>
      <w:tr w14:paraId="454061A9">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7FB75B60">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26、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），不予处罚</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A、开展工作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B、努力工作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C、依法履职尽责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D、尽心尽力</w:t>
            </w:r>
            <w:r>
              <w:rPr>
                <w:rFonts w:hint="eastAsia" w:ascii="等线" w:hAnsi="等线" w:eastAsia="等线" w:cs="宋体"/>
                <w:color w:val="000000"/>
                <w:kern w:val="0"/>
                <w:sz w:val="22"/>
                <w:szCs w:val="22"/>
              </w:rPr>
              <w:br w:type="textWrapping"/>
            </w:r>
          </w:p>
        </w:tc>
      </w:tr>
      <w:tr w14:paraId="788C45D8">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632076FC">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27、根据《锅炉安全技术规程》（TSG 11-2020）的规定，电站锅炉整套启动时，以下（      ）热工设备和保护装置应当经过调试，并且投入运行</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A、数据采集系统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B、有关辅机的子功能组和联锁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C、全部远程操作系统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D、以上都是</w:t>
            </w:r>
            <w:r>
              <w:rPr>
                <w:rFonts w:hint="eastAsia" w:ascii="等线" w:hAnsi="等线" w:eastAsia="等线" w:cs="宋体"/>
                <w:color w:val="000000"/>
                <w:kern w:val="0"/>
                <w:sz w:val="22"/>
                <w:szCs w:val="22"/>
              </w:rPr>
              <w:br w:type="textWrapping"/>
            </w:r>
          </w:p>
        </w:tc>
      </w:tr>
      <w:tr w14:paraId="311875AB">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1C02A7BE">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28、根据《锅炉安全技术规程》（TSG 11-2020）的规定，300MW及以上机组电站锅炉经过（      ）整套连续满负荷试运行，各项安全指 标均达到相关标准</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A、24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B、72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C、168</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D、500</w:t>
            </w:r>
            <w:r>
              <w:rPr>
                <w:rFonts w:hint="eastAsia" w:ascii="等线" w:hAnsi="等线" w:eastAsia="等线" w:cs="宋体"/>
                <w:color w:val="000000"/>
                <w:kern w:val="0"/>
                <w:sz w:val="22"/>
                <w:szCs w:val="22"/>
              </w:rPr>
              <w:br w:type="textWrapping"/>
            </w:r>
          </w:p>
        </w:tc>
      </w:tr>
      <w:tr w14:paraId="0F71B547">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C64A24F">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29、根据《锅炉安全技术规程》（TSG 11-2020）的规定，锅炉安装单位在总体验收合格后（      ）技术资料可不移交给使用单位存入锅炉安全技术档案</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A、主蒸汽管道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B、排污管道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C、主给水管道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D、再热蒸汽管道</w:t>
            </w:r>
            <w:r>
              <w:rPr>
                <w:rFonts w:hint="eastAsia" w:ascii="等线" w:hAnsi="等线" w:eastAsia="等线" w:cs="宋体"/>
                <w:color w:val="000000"/>
                <w:kern w:val="0"/>
                <w:sz w:val="22"/>
                <w:szCs w:val="22"/>
              </w:rPr>
              <w:br w:type="textWrapping"/>
            </w:r>
          </w:p>
        </w:tc>
      </w:tr>
      <w:tr w14:paraId="5FE4199D">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14:paraId="4A387A8F">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30、根据《锅炉安全技术规程》（TSG 11-2020）的规定，电站锅炉使用单位应当加强燃料管理，燃料入炉前应当进行（      ），根据分析结果进行燃烧控制与调整</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A、能效测试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B、燃烧试验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C、脱硫脱硝</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D、燃料分析</w:t>
            </w:r>
            <w:r>
              <w:rPr>
                <w:rFonts w:hint="eastAsia" w:ascii="等线" w:hAnsi="等线" w:eastAsia="等线" w:cs="宋体"/>
                <w:color w:val="000000"/>
                <w:kern w:val="0"/>
                <w:sz w:val="22"/>
                <w:szCs w:val="22"/>
              </w:rPr>
              <w:br w:type="textWrapping"/>
            </w:r>
          </w:p>
        </w:tc>
      </w:tr>
    </w:tbl>
    <w:p w14:paraId="4EDC88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B3B083-5300-4A3F-B92F-BE0A1104ED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4D94B164-8953-4792-AF68-F34CB96654FD}"/>
  </w:font>
  <w:font w:name="等线">
    <w:panose1 w:val="02010600030101010101"/>
    <w:charset w:val="86"/>
    <w:family w:val="auto"/>
    <w:pitch w:val="default"/>
    <w:sig w:usb0="A00002BF" w:usb1="38CF7CFA" w:usb2="00000016" w:usb3="00000000" w:csb0="0004000F" w:csb1="00000000"/>
    <w:embedRegular r:id="rId3" w:fontKey="{6D4EF562-FE82-497B-B717-2414C884AEE4}"/>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abstractNum w:abstractNumId="1">
    <w:nsid w:val="FF7464A6"/>
    <w:multiLevelType w:val="singleLevel"/>
    <w:tmpl w:val="FF7464A6"/>
    <w:lvl w:ilvl="0" w:tentative="0">
      <w:start w:val="1"/>
      <w:numFmt w:val="upperLetter"/>
      <w:suff w:val="nothing"/>
      <w:lvlText w:val="%1、"/>
      <w:lvlJc w:val="left"/>
    </w:lvl>
  </w:abstractNum>
  <w:abstractNum w:abstractNumId="2">
    <w:nsid w:val="37A0C4E1"/>
    <w:multiLevelType w:val="singleLevel"/>
    <w:tmpl w:val="37A0C4E1"/>
    <w:lvl w:ilvl="0" w:tentative="0">
      <w:start w:val="2"/>
      <w:numFmt w:val="upperLetter"/>
      <w:suff w:val="nothing"/>
      <w:lvlText w:val="%1、"/>
      <w:lvlJc w:val="left"/>
    </w:lvl>
  </w:abstractNum>
  <w:abstractNum w:abstractNumId="3">
    <w:nsid w:val="3AA78BA2"/>
    <w:multiLevelType w:val="singleLevel"/>
    <w:tmpl w:val="3AA78BA2"/>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6F00A1"/>
    <w:rsid w:val="00267022"/>
    <w:rsid w:val="00562372"/>
    <w:rsid w:val="00572310"/>
    <w:rsid w:val="00661550"/>
    <w:rsid w:val="006F00A1"/>
    <w:rsid w:val="00763A2E"/>
    <w:rsid w:val="007651B7"/>
    <w:rsid w:val="00791071"/>
    <w:rsid w:val="02816716"/>
    <w:rsid w:val="03337F26"/>
    <w:rsid w:val="04194A97"/>
    <w:rsid w:val="25F80F5A"/>
    <w:rsid w:val="28EA03D6"/>
    <w:rsid w:val="2ADD51DA"/>
    <w:rsid w:val="38DF595B"/>
    <w:rsid w:val="39FA01F5"/>
    <w:rsid w:val="406C550C"/>
    <w:rsid w:val="40BA08D6"/>
    <w:rsid w:val="45C34131"/>
    <w:rsid w:val="4C5864D9"/>
    <w:rsid w:val="56D424EB"/>
    <w:rsid w:val="5E240571"/>
    <w:rsid w:val="67E4235D"/>
    <w:rsid w:val="696F2C1A"/>
    <w:rsid w:val="6D54359A"/>
    <w:rsid w:val="6F8C75A6"/>
    <w:rsid w:val="723143F0"/>
    <w:rsid w:val="72D36533"/>
    <w:rsid w:val="794D7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11006</Words>
  <Characters>11409</Characters>
  <Lines>86</Lines>
  <Paragraphs>24</Paragraphs>
  <TotalTime>11</TotalTime>
  <ScaleCrop>false</ScaleCrop>
  <LinksUpToDate>false</LinksUpToDate>
  <CharactersWithSpaces>11792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2024-08-06T09:18:26Z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62A4C2FCC4FD4F8093D252E174233AE8_13</vt:lpwstr>
  </property>
</Properties>
</file>